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 w:val="0"/>
          <w:bCs/>
          <w:sz w:val="24"/>
          <w:szCs w:val="24"/>
        </w:rPr>
      </w:pPr>
      <w:r>
        <w:rPr>
          <w:rFonts w:hint="eastAsia" w:ascii="黑体" w:hAnsi="黑体" w:eastAsia="黑体"/>
          <w:b w:val="0"/>
          <w:bCs/>
          <w:sz w:val="24"/>
          <w:szCs w:val="24"/>
        </w:rPr>
        <w:t>上交所技术有限责任公司</w:t>
      </w:r>
    </w:p>
    <w:p>
      <w:pPr>
        <w:spacing w:line="360" w:lineRule="auto"/>
        <w:jc w:val="center"/>
        <w:rPr>
          <w:rFonts w:ascii="黑体" w:hAnsi="黑体" w:eastAsia="黑体"/>
          <w:b w:val="0"/>
          <w:bCs/>
          <w:sz w:val="24"/>
          <w:szCs w:val="24"/>
        </w:rPr>
      </w:pPr>
      <w:r>
        <w:rPr>
          <w:rFonts w:hint="eastAsia" w:ascii="黑体" w:hAnsi="黑体" w:eastAsia="黑体"/>
          <w:b w:val="0"/>
          <w:bCs/>
          <w:sz w:val="24"/>
          <w:szCs w:val="24"/>
        </w:rPr>
        <w:t>数据中心业务申请指南</w:t>
      </w:r>
    </w:p>
    <w:p>
      <w:pPr>
        <w:pStyle w:val="8"/>
        <w:spacing w:before="0" w:after="0"/>
        <w:rPr>
          <w:rFonts w:hint="default" w:ascii="黑体" w:hAnsi="黑体" w:eastAsia="黑体"/>
          <w:b w:val="0"/>
          <w:sz w:val="24"/>
          <w:szCs w:val="24"/>
        </w:rPr>
      </w:pPr>
      <w:r>
        <w:rPr>
          <w:rFonts w:hint="eastAsia" w:ascii="黑体" w:hAnsi="黑体" w:eastAsia="黑体"/>
          <w:b w:val="0"/>
          <w:sz w:val="24"/>
          <w:szCs w:val="24"/>
        </w:rPr>
        <w:t>Ver</w:t>
      </w:r>
      <w:r>
        <w:rPr>
          <w:rFonts w:hint="eastAsia" w:ascii="黑体" w:hAnsi="黑体" w:eastAsia="黑体"/>
          <w:b w:val="0"/>
          <w:sz w:val="24"/>
          <w:szCs w:val="24"/>
          <w:lang w:eastAsia="zh-CN"/>
        </w:rPr>
        <w:t>2</w:t>
      </w:r>
      <w:r>
        <w:rPr>
          <w:rFonts w:hint="eastAsia" w:ascii="黑体" w:hAnsi="黑体" w:eastAsia="黑体"/>
          <w:b w:val="0"/>
          <w:sz w:val="24"/>
          <w:szCs w:val="24"/>
          <w:lang w:val="en-US" w:eastAsia="zh-CN"/>
        </w:rPr>
        <w:t>.0</w:t>
      </w:r>
    </w:p>
    <w:p>
      <w:pPr>
        <w:rPr>
          <w:b w:val="0"/>
          <w:bCs/>
          <w:sz w:val="24"/>
        </w:rPr>
      </w:pPr>
    </w:p>
    <w:p>
      <w:pPr>
        <w:pStyle w:val="19"/>
        <w:numPr>
          <w:ilvl w:val="0"/>
          <w:numId w:val="1"/>
        </w:numPr>
        <w:spacing w:line="500" w:lineRule="exact"/>
        <w:ind w:left="0" w:firstLine="453" w:firstLineChars="189"/>
        <w:rPr>
          <w:rFonts w:ascii="仿宋" w:hAnsi="仿宋" w:eastAsia="仿宋"/>
          <w:b w:val="0"/>
          <w:bCs/>
          <w:sz w:val="24"/>
          <w:szCs w:val="24"/>
        </w:rPr>
      </w:pPr>
      <w:r>
        <w:rPr>
          <w:rFonts w:hint="eastAsia" w:ascii="仿宋" w:hAnsi="仿宋" w:eastAsia="仿宋"/>
          <w:b w:val="0"/>
          <w:bCs/>
          <w:sz w:val="24"/>
          <w:szCs w:val="24"/>
        </w:rPr>
        <w:t>为规范上交所技术有限责任公司（以下简称本公司）数据中心业务规划，保证数据中心业务透明性、公平性，制定本指南。</w:t>
      </w:r>
    </w:p>
    <w:p>
      <w:pPr>
        <w:pStyle w:val="19"/>
        <w:numPr>
          <w:ilvl w:val="0"/>
          <w:numId w:val="1"/>
        </w:numPr>
        <w:spacing w:line="500" w:lineRule="exact"/>
        <w:ind w:left="0" w:firstLine="453" w:firstLineChars="189"/>
        <w:rPr>
          <w:rFonts w:ascii="仿宋" w:hAnsi="仿宋" w:eastAsia="仿宋"/>
          <w:b w:val="0"/>
          <w:bCs/>
          <w:sz w:val="24"/>
          <w:szCs w:val="24"/>
        </w:rPr>
      </w:pPr>
      <w:r>
        <w:rPr>
          <w:rFonts w:hint="eastAsia" w:ascii="仿宋" w:hAnsi="仿宋" w:eastAsia="仿宋"/>
          <w:b w:val="0"/>
          <w:bCs/>
          <w:sz w:val="24"/>
          <w:szCs w:val="24"/>
        </w:rPr>
        <w:t>本指南所指数据中心包括证券技术大厦数据中心、金桥数据中心。</w:t>
      </w:r>
    </w:p>
    <w:p>
      <w:pPr>
        <w:pStyle w:val="19"/>
        <w:numPr>
          <w:ilvl w:val="0"/>
          <w:numId w:val="1"/>
        </w:numPr>
        <w:spacing w:line="500" w:lineRule="exact"/>
        <w:ind w:left="0" w:firstLine="453" w:firstLineChars="189"/>
        <w:rPr>
          <w:rFonts w:ascii="仿宋" w:hAnsi="仿宋" w:eastAsia="仿宋"/>
          <w:b w:val="0"/>
          <w:bCs/>
          <w:sz w:val="24"/>
          <w:szCs w:val="24"/>
        </w:rPr>
      </w:pPr>
      <w:r>
        <w:rPr>
          <w:rFonts w:hint="eastAsia" w:ascii="仿宋" w:hAnsi="仿宋" w:eastAsia="仿宋"/>
          <w:b w:val="0"/>
          <w:bCs/>
          <w:sz w:val="24"/>
          <w:szCs w:val="24"/>
        </w:rPr>
        <w:t>本公司定期在官网（www.ssetech.com.cn）公布数据中心业务资源剩余情况，以供客户查询。</w:t>
      </w:r>
    </w:p>
    <w:p>
      <w:pPr>
        <w:pStyle w:val="19"/>
        <w:numPr>
          <w:ilvl w:val="0"/>
          <w:numId w:val="1"/>
        </w:numPr>
        <w:spacing w:line="500" w:lineRule="exact"/>
        <w:ind w:left="0" w:firstLine="453" w:firstLineChars="189"/>
        <w:rPr>
          <w:rFonts w:ascii="仿宋" w:hAnsi="仿宋" w:eastAsia="仿宋"/>
          <w:b w:val="0"/>
          <w:bCs/>
          <w:sz w:val="24"/>
          <w:szCs w:val="24"/>
        </w:rPr>
      </w:pPr>
      <w:r>
        <w:rPr>
          <w:rFonts w:hint="eastAsia" w:ascii="仿宋" w:hAnsi="仿宋" w:eastAsia="仿宋"/>
          <w:b w:val="0"/>
          <w:bCs/>
          <w:sz w:val="24"/>
          <w:szCs w:val="24"/>
        </w:rPr>
        <w:t>向本公司申请数据中心服务的客户，请与本公司市场营销部联系</w:t>
      </w:r>
      <w:r>
        <w:rPr>
          <w:rFonts w:hint="eastAsia" w:ascii="仿宋" w:hAnsi="仿宋" w:eastAsia="仿宋"/>
          <w:b w:val="0"/>
          <w:bCs/>
          <w:sz w:val="24"/>
          <w:szCs w:val="24"/>
          <w:lang w:eastAsia="zh-CN"/>
        </w:rPr>
        <w:t>，</w:t>
      </w:r>
      <w:r>
        <w:rPr>
          <w:rFonts w:hint="eastAsia" w:ascii="仿宋" w:hAnsi="仿宋" w:eastAsia="仿宋"/>
          <w:b w:val="0"/>
          <w:bCs/>
          <w:sz w:val="24"/>
          <w:szCs w:val="24"/>
          <w:lang w:val="en-US" w:eastAsia="zh-CN"/>
        </w:rPr>
        <w:t>经</w:t>
      </w:r>
      <w:r>
        <w:rPr>
          <w:rFonts w:hint="eastAsia" w:ascii="仿宋" w:hAnsi="仿宋" w:eastAsia="仿宋"/>
          <w:b w:val="0"/>
          <w:bCs/>
          <w:sz w:val="24"/>
          <w:szCs w:val="24"/>
        </w:rPr>
        <w:t>双方协商一致后签署</w:t>
      </w:r>
      <w:r>
        <w:rPr>
          <w:rFonts w:hint="eastAsia" w:ascii="仿宋" w:hAnsi="仿宋" w:eastAsia="仿宋"/>
          <w:b w:val="0"/>
          <w:bCs/>
          <w:sz w:val="24"/>
          <w:szCs w:val="24"/>
          <w:lang w:val="en-US" w:eastAsia="zh-CN"/>
        </w:rPr>
        <w:t>数据中心服务框架</w:t>
      </w:r>
      <w:r>
        <w:rPr>
          <w:rFonts w:hint="eastAsia" w:ascii="仿宋" w:hAnsi="仿宋" w:eastAsia="仿宋"/>
          <w:b w:val="0"/>
          <w:bCs/>
          <w:sz w:val="24"/>
          <w:szCs w:val="24"/>
        </w:rPr>
        <w:t>合同。</w:t>
      </w:r>
    </w:p>
    <w:p>
      <w:pPr>
        <w:pStyle w:val="19"/>
        <w:numPr>
          <w:ilvl w:val="0"/>
          <w:numId w:val="1"/>
        </w:numPr>
        <w:spacing w:line="500" w:lineRule="exact"/>
        <w:ind w:left="0" w:firstLine="453" w:firstLineChars="189"/>
        <w:rPr>
          <w:rFonts w:hint="eastAsia" w:ascii="仿宋" w:hAnsi="仿宋" w:eastAsia="仿宋"/>
          <w:b w:val="0"/>
          <w:bCs/>
          <w:sz w:val="24"/>
          <w:szCs w:val="24"/>
        </w:rPr>
      </w:pPr>
      <w:r>
        <w:rPr>
          <w:rFonts w:hint="eastAsia" w:ascii="仿宋" w:hAnsi="仿宋" w:eastAsia="仿宋"/>
          <w:b w:val="0"/>
          <w:bCs/>
          <w:sz w:val="24"/>
          <w:szCs w:val="24"/>
          <w:lang w:val="en-US" w:eastAsia="zh-CN"/>
        </w:rPr>
        <w:t>客户根据本公司分配的市场技术服务平台（</w:t>
      </w:r>
      <w:r>
        <w:rPr>
          <w:rFonts w:hint="eastAsia" w:ascii="仿宋" w:hAnsi="仿宋" w:eastAsia="仿宋"/>
          <w:b w:val="0"/>
          <w:bCs/>
          <w:color w:val="auto"/>
          <w:sz w:val="24"/>
        </w:rPr>
        <w:t>vpn.ztcloud.ssetech.com.cn</w:t>
      </w:r>
      <w:r>
        <w:rPr>
          <w:rFonts w:hint="eastAsia" w:ascii="仿宋" w:hAnsi="仿宋" w:eastAsia="仿宋"/>
          <w:b w:val="0"/>
          <w:bCs/>
          <w:sz w:val="24"/>
          <w:szCs w:val="24"/>
          <w:lang w:val="en-US" w:eastAsia="zh-CN"/>
        </w:rPr>
        <w:t>）账号和密码,登录市场技术服务平台自助申请数据中心相关服务</w:t>
      </w:r>
      <w:r>
        <w:rPr>
          <w:rFonts w:hint="eastAsia" w:ascii="仿宋" w:hAnsi="仿宋" w:eastAsia="仿宋"/>
          <w:b w:val="0"/>
          <w:bCs/>
          <w:sz w:val="24"/>
          <w:szCs w:val="24"/>
        </w:rPr>
        <w:t>。</w:t>
      </w:r>
    </w:p>
    <w:p>
      <w:pPr>
        <w:pStyle w:val="19"/>
        <w:numPr>
          <w:ilvl w:val="0"/>
          <w:numId w:val="1"/>
        </w:numPr>
        <w:spacing w:line="500" w:lineRule="exact"/>
        <w:ind w:left="0" w:firstLine="453" w:firstLineChars="189"/>
        <w:rPr>
          <w:rFonts w:ascii="仿宋" w:hAnsi="仿宋" w:eastAsia="仿宋"/>
          <w:b w:val="0"/>
          <w:bCs/>
          <w:sz w:val="24"/>
          <w:szCs w:val="24"/>
        </w:rPr>
      </w:pPr>
      <w:r>
        <w:rPr>
          <w:rFonts w:hint="eastAsia" w:ascii="仿宋" w:hAnsi="仿宋" w:eastAsia="仿宋"/>
          <w:b w:val="0"/>
          <w:bCs/>
          <w:sz w:val="24"/>
          <w:szCs w:val="24"/>
        </w:rPr>
        <w:t>本指南由本公司负责解释，本公司有权根据实际需要进行修订。</w:t>
      </w:r>
    </w:p>
    <w:p>
      <w:pPr>
        <w:pStyle w:val="19"/>
        <w:numPr>
          <w:ilvl w:val="0"/>
          <w:numId w:val="1"/>
        </w:numPr>
        <w:spacing w:line="500" w:lineRule="exact"/>
        <w:ind w:left="0" w:firstLine="453" w:firstLineChars="189"/>
        <w:rPr>
          <w:rFonts w:ascii="仿宋" w:hAnsi="仿宋" w:eastAsia="仿宋"/>
          <w:b w:val="0"/>
          <w:bCs/>
          <w:sz w:val="24"/>
          <w:szCs w:val="24"/>
        </w:rPr>
      </w:pPr>
      <w:r>
        <w:rPr>
          <w:rFonts w:hint="eastAsia" w:ascii="仿宋" w:hAnsi="仿宋" w:eastAsia="仿宋"/>
          <w:b w:val="0"/>
          <w:bCs/>
          <w:sz w:val="24"/>
          <w:szCs w:val="24"/>
        </w:rPr>
        <w:t>本指南自发布之日起施行。</w:t>
      </w:r>
    </w:p>
    <w:p>
      <w:pPr>
        <w:spacing w:line="360" w:lineRule="auto"/>
        <w:rPr>
          <w:rFonts w:ascii="楷体" w:hAnsi="楷体" w:eastAsia="楷体"/>
          <w:b w:val="0"/>
          <w:bCs/>
          <w:sz w:val="24"/>
        </w:rPr>
      </w:pPr>
    </w:p>
    <w:p>
      <w:pPr>
        <w:spacing w:line="500" w:lineRule="exact"/>
        <w:rPr>
          <w:rFonts w:ascii="仿宋" w:hAnsi="仿宋" w:eastAsia="仿宋"/>
          <w:b w:val="0"/>
          <w:bCs/>
          <w:sz w:val="24"/>
          <w:szCs w:val="24"/>
        </w:rPr>
      </w:pPr>
      <w:r>
        <w:rPr>
          <w:rFonts w:hint="eastAsia" w:ascii="仿宋" w:hAnsi="仿宋" w:eastAsia="仿宋"/>
          <w:b w:val="0"/>
          <w:bCs/>
          <w:sz w:val="24"/>
          <w:szCs w:val="24"/>
        </w:rPr>
        <w:t>上交所技术有限责任公司资料：</w:t>
      </w:r>
    </w:p>
    <w:p>
      <w:pPr>
        <w:spacing w:line="500" w:lineRule="exact"/>
        <w:rPr>
          <w:rFonts w:ascii="仿宋" w:hAnsi="仿宋" w:eastAsia="仿宋"/>
          <w:b w:val="0"/>
          <w:bCs/>
          <w:sz w:val="24"/>
          <w:szCs w:val="24"/>
        </w:rPr>
      </w:pPr>
    </w:p>
    <w:p>
      <w:pPr>
        <w:spacing w:line="500" w:lineRule="exact"/>
        <w:rPr>
          <w:rFonts w:ascii="仿宋" w:hAnsi="仿宋" w:eastAsia="仿宋"/>
          <w:b w:val="0"/>
          <w:bCs/>
          <w:sz w:val="24"/>
          <w:szCs w:val="24"/>
        </w:rPr>
      </w:pPr>
      <w:r>
        <w:rPr>
          <w:rFonts w:hint="eastAsia" w:ascii="仿宋" w:hAnsi="仿宋" w:eastAsia="仿宋"/>
          <w:b w:val="0"/>
          <w:bCs/>
          <w:sz w:val="24"/>
          <w:szCs w:val="24"/>
        </w:rPr>
        <w:t>地址：</w:t>
      </w:r>
      <w:r>
        <w:rPr>
          <w:rFonts w:ascii="仿宋" w:hAnsi="仿宋" w:eastAsia="仿宋"/>
          <w:b w:val="0"/>
          <w:bCs/>
          <w:sz w:val="24"/>
          <w:szCs w:val="24"/>
        </w:rPr>
        <w:t>上海自由贸易试验区台中北路8号</w:t>
      </w:r>
      <w:r>
        <w:rPr>
          <w:rFonts w:hint="eastAsia" w:ascii="仿宋" w:hAnsi="仿宋" w:eastAsia="仿宋"/>
          <w:b w:val="0"/>
          <w:bCs/>
          <w:sz w:val="24"/>
          <w:szCs w:val="24"/>
        </w:rPr>
        <w:t xml:space="preserve">      邮编：200131</w:t>
      </w:r>
    </w:p>
    <w:p>
      <w:pPr>
        <w:spacing w:line="500" w:lineRule="exact"/>
        <w:rPr>
          <w:rFonts w:ascii="仿宋" w:hAnsi="仿宋" w:eastAsia="仿宋"/>
          <w:b w:val="0"/>
          <w:bCs/>
          <w:sz w:val="24"/>
          <w:szCs w:val="24"/>
        </w:rPr>
      </w:pPr>
      <w:r>
        <w:rPr>
          <w:rFonts w:hint="eastAsia" w:ascii="仿宋" w:hAnsi="仿宋" w:eastAsia="仿宋"/>
          <w:b w:val="0"/>
          <w:bCs/>
          <w:sz w:val="24"/>
          <w:szCs w:val="24"/>
        </w:rPr>
        <w:t xml:space="preserve">开户行：021923-工行新灵路支行             </w:t>
      </w:r>
    </w:p>
    <w:p>
      <w:pPr>
        <w:spacing w:line="500" w:lineRule="exact"/>
        <w:rPr>
          <w:rFonts w:hint="eastAsia" w:ascii="仿宋" w:hAnsi="仿宋" w:eastAsia="仿宋"/>
          <w:b w:val="0"/>
          <w:bCs/>
          <w:sz w:val="24"/>
          <w:szCs w:val="24"/>
        </w:rPr>
      </w:pPr>
      <w:r>
        <w:rPr>
          <w:rFonts w:hint="eastAsia" w:ascii="仿宋" w:hAnsi="仿宋" w:eastAsia="仿宋"/>
          <w:b w:val="0"/>
          <w:bCs/>
          <w:sz w:val="24"/>
          <w:szCs w:val="24"/>
        </w:rPr>
        <w:t>账号： 1001192309004613114</w:t>
      </w:r>
      <w:r>
        <w:rPr>
          <w:rFonts w:hint="eastAsia" w:ascii="仿宋" w:hAnsi="仿宋" w:eastAsia="仿宋"/>
          <w:b w:val="0"/>
          <w:bCs/>
          <w:sz w:val="24"/>
          <w:szCs w:val="24"/>
        </w:rPr>
        <w:br w:type="textWrapping"/>
      </w:r>
      <w:r>
        <w:rPr>
          <w:rFonts w:hint="eastAsia" w:ascii="仿宋" w:hAnsi="仿宋" w:eastAsia="仿宋"/>
          <w:b w:val="0"/>
          <w:bCs/>
          <w:sz w:val="24"/>
          <w:szCs w:val="24"/>
        </w:rPr>
        <w:t>市场营销部</w:t>
      </w:r>
      <w:r>
        <w:rPr>
          <w:rFonts w:hint="eastAsia" w:ascii="仿宋" w:hAnsi="仿宋" w:eastAsia="仿宋"/>
          <w:b w:val="0"/>
          <w:bCs/>
          <w:sz w:val="24"/>
          <w:szCs w:val="24"/>
          <w:lang w:eastAsia="zh-CN"/>
        </w:rPr>
        <w:t>咨询</w:t>
      </w:r>
      <w:r>
        <w:rPr>
          <w:rFonts w:hint="eastAsia" w:ascii="仿宋" w:hAnsi="仿宋" w:eastAsia="仿宋"/>
          <w:b w:val="0"/>
          <w:bCs/>
          <w:sz w:val="24"/>
          <w:szCs w:val="24"/>
        </w:rPr>
        <w:t xml:space="preserve">电话：021-58656238   </w:t>
      </w:r>
    </w:p>
    <w:p>
      <w:pPr>
        <w:spacing w:line="500" w:lineRule="exact"/>
        <w:rPr>
          <w:rFonts w:ascii="仿宋" w:hAnsi="仿宋" w:eastAsia="仿宋"/>
          <w:b w:val="0"/>
          <w:bCs/>
          <w:sz w:val="24"/>
          <w:szCs w:val="24"/>
        </w:rPr>
      </w:pPr>
      <w:r>
        <w:rPr>
          <w:rFonts w:hint="eastAsia" w:ascii="仿宋" w:hAnsi="仿宋" w:eastAsia="仿宋"/>
          <w:b w:val="0"/>
          <w:bCs/>
          <w:sz w:val="24"/>
          <w:szCs w:val="24"/>
        </w:rPr>
        <w:t>技术服务热线：400</w:t>
      </w:r>
      <w:r>
        <w:rPr>
          <w:rFonts w:hint="eastAsia" w:ascii="仿宋" w:hAnsi="仿宋" w:eastAsia="仿宋"/>
          <w:b w:val="0"/>
          <w:bCs/>
          <w:sz w:val="24"/>
          <w:szCs w:val="24"/>
          <w:lang w:val="en-US" w:eastAsia="zh-CN"/>
        </w:rPr>
        <w:t>8888400</w:t>
      </w:r>
      <w:r>
        <w:rPr>
          <w:rFonts w:hint="eastAsia" w:ascii="仿宋" w:hAnsi="仿宋" w:eastAsia="仿宋"/>
          <w:b w:val="0"/>
          <w:bCs/>
          <w:sz w:val="24"/>
          <w:szCs w:val="24"/>
        </w:rPr>
        <w:t>转</w:t>
      </w:r>
      <w:r>
        <w:rPr>
          <w:rFonts w:hint="eastAsia" w:ascii="仿宋" w:hAnsi="仿宋" w:eastAsia="仿宋"/>
          <w:b w:val="0"/>
          <w:bCs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/>
          <w:b w:val="0"/>
          <w:bCs/>
          <w:sz w:val="24"/>
          <w:szCs w:val="24"/>
        </w:rPr>
        <w:t xml:space="preserve">  </w:t>
      </w:r>
      <w:bookmarkStart w:id="0" w:name="_GoBack"/>
      <w:bookmarkEnd w:id="0"/>
      <w:r>
        <w:rPr>
          <w:rFonts w:hint="eastAsia" w:ascii="仿宋" w:hAnsi="仿宋" w:eastAsia="仿宋"/>
          <w:b w:val="0"/>
          <w:bCs/>
          <w:sz w:val="24"/>
          <w:szCs w:val="24"/>
        </w:rPr>
        <w:t xml:space="preserve">        </w:t>
      </w:r>
    </w:p>
    <w:p>
      <w:pPr>
        <w:spacing w:line="360" w:lineRule="auto"/>
        <w:rPr>
          <w:rFonts w:ascii="楷体" w:hAnsi="楷体" w:eastAsia="楷体"/>
          <w:b w:val="0"/>
          <w:bCs/>
          <w:sz w:val="24"/>
        </w:rPr>
      </w:pPr>
    </w:p>
    <w:p>
      <w:pPr>
        <w:rPr>
          <w:rFonts w:ascii="仿宋" w:hAnsi="仿宋" w:eastAsia="仿宋"/>
          <w:b w:val="0"/>
          <w:bCs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06719D"/>
    <w:multiLevelType w:val="multilevel"/>
    <w:tmpl w:val="1F06719D"/>
    <w:lvl w:ilvl="0" w:tentative="0">
      <w:start w:val="1"/>
      <w:numFmt w:val="japaneseCounting"/>
      <w:lvlText w:val="第%1条"/>
      <w:lvlJc w:val="left"/>
      <w:pPr>
        <w:ind w:left="420" w:hanging="420"/>
      </w:pPr>
      <w:rPr>
        <w:rFonts w:hint="eastAsia" w:ascii="黑体" w:hAnsi="黑体" w:eastAsia="黑体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wZDRlMWMxY2NmMzdlNTA5ZGFhOTI5MTdiODgyYzgifQ=="/>
  </w:docVars>
  <w:rsids>
    <w:rsidRoot w:val="00D03B02"/>
    <w:rsid w:val="00047058"/>
    <w:rsid w:val="00051876"/>
    <w:rsid w:val="00071C97"/>
    <w:rsid w:val="00086B60"/>
    <w:rsid w:val="000A7CF8"/>
    <w:rsid w:val="000D0715"/>
    <w:rsid w:val="000D128D"/>
    <w:rsid w:val="00105CC8"/>
    <w:rsid w:val="0014035B"/>
    <w:rsid w:val="00142842"/>
    <w:rsid w:val="0016495E"/>
    <w:rsid w:val="00166FE7"/>
    <w:rsid w:val="00171229"/>
    <w:rsid w:val="001773E8"/>
    <w:rsid w:val="001860F9"/>
    <w:rsid w:val="001B1589"/>
    <w:rsid w:val="001D7C2A"/>
    <w:rsid w:val="00227B0C"/>
    <w:rsid w:val="002313F8"/>
    <w:rsid w:val="002530DC"/>
    <w:rsid w:val="00260AD2"/>
    <w:rsid w:val="002649C8"/>
    <w:rsid w:val="002D611A"/>
    <w:rsid w:val="003015E9"/>
    <w:rsid w:val="00305502"/>
    <w:rsid w:val="00316640"/>
    <w:rsid w:val="00355995"/>
    <w:rsid w:val="00371AFB"/>
    <w:rsid w:val="00403EBE"/>
    <w:rsid w:val="004536AB"/>
    <w:rsid w:val="0045753E"/>
    <w:rsid w:val="004678F7"/>
    <w:rsid w:val="00480F0A"/>
    <w:rsid w:val="00482184"/>
    <w:rsid w:val="00496FB7"/>
    <w:rsid w:val="004D1186"/>
    <w:rsid w:val="00510400"/>
    <w:rsid w:val="00576EA6"/>
    <w:rsid w:val="00586634"/>
    <w:rsid w:val="005A1D67"/>
    <w:rsid w:val="005F31BF"/>
    <w:rsid w:val="006023BD"/>
    <w:rsid w:val="00637D5A"/>
    <w:rsid w:val="00646913"/>
    <w:rsid w:val="006628F7"/>
    <w:rsid w:val="00664E12"/>
    <w:rsid w:val="006A00D1"/>
    <w:rsid w:val="006E283F"/>
    <w:rsid w:val="006E3AB4"/>
    <w:rsid w:val="006F7B49"/>
    <w:rsid w:val="00703EE9"/>
    <w:rsid w:val="00724F7C"/>
    <w:rsid w:val="00773AB0"/>
    <w:rsid w:val="007744A9"/>
    <w:rsid w:val="007A7CF5"/>
    <w:rsid w:val="00805004"/>
    <w:rsid w:val="00855D37"/>
    <w:rsid w:val="008649CC"/>
    <w:rsid w:val="0087352D"/>
    <w:rsid w:val="008B1E30"/>
    <w:rsid w:val="00957E3D"/>
    <w:rsid w:val="0096504D"/>
    <w:rsid w:val="00980143"/>
    <w:rsid w:val="00984CE2"/>
    <w:rsid w:val="009F760A"/>
    <w:rsid w:val="00A0207E"/>
    <w:rsid w:val="00A24276"/>
    <w:rsid w:val="00A62F4D"/>
    <w:rsid w:val="00A826E9"/>
    <w:rsid w:val="00A936E8"/>
    <w:rsid w:val="00AA2DDD"/>
    <w:rsid w:val="00AE0B1C"/>
    <w:rsid w:val="00AE7F1B"/>
    <w:rsid w:val="00B10E78"/>
    <w:rsid w:val="00B25C66"/>
    <w:rsid w:val="00B57BD0"/>
    <w:rsid w:val="00B80AC4"/>
    <w:rsid w:val="00B91051"/>
    <w:rsid w:val="00BA5821"/>
    <w:rsid w:val="00BC4D95"/>
    <w:rsid w:val="00BD1C78"/>
    <w:rsid w:val="00BD41D3"/>
    <w:rsid w:val="00BF6759"/>
    <w:rsid w:val="00C26502"/>
    <w:rsid w:val="00C353BC"/>
    <w:rsid w:val="00C539BF"/>
    <w:rsid w:val="00C6615F"/>
    <w:rsid w:val="00C76EC6"/>
    <w:rsid w:val="00CC1E46"/>
    <w:rsid w:val="00CE0980"/>
    <w:rsid w:val="00D03AB0"/>
    <w:rsid w:val="00D03B02"/>
    <w:rsid w:val="00D32FA2"/>
    <w:rsid w:val="00D96DE9"/>
    <w:rsid w:val="00DC44E7"/>
    <w:rsid w:val="00DC768B"/>
    <w:rsid w:val="00DE004D"/>
    <w:rsid w:val="00DF4470"/>
    <w:rsid w:val="00E015FC"/>
    <w:rsid w:val="00E15484"/>
    <w:rsid w:val="00E34C96"/>
    <w:rsid w:val="00E834FE"/>
    <w:rsid w:val="00EB07EF"/>
    <w:rsid w:val="00EF4431"/>
    <w:rsid w:val="00EF7D4B"/>
    <w:rsid w:val="00F021B2"/>
    <w:rsid w:val="00F170FF"/>
    <w:rsid w:val="00F20045"/>
    <w:rsid w:val="00F20A41"/>
    <w:rsid w:val="00F65ADD"/>
    <w:rsid w:val="00F66685"/>
    <w:rsid w:val="00F678EB"/>
    <w:rsid w:val="00FB4FF4"/>
    <w:rsid w:val="00FF4066"/>
    <w:rsid w:val="00FF7271"/>
    <w:rsid w:val="1AEA229C"/>
    <w:rsid w:val="3EBC07AC"/>
    <w:rsid w:val="6B5B189A"/>
    <w:rsid w:val="7F3F1365"/>
    <w:rsid w:val="95FF0DC4"/>
    <w:rsid w:val="9DF77645"/>
    <w:rsid w:val="ADFB7DD9"/>
    <w:rsid w:val="ECE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4">
    <w:name w:val="Plain Text"/>
    <w:basedOn w:val="1"/>
    <w:link w:val="17"/>
    <w:qFormat/>
    <w:uiPriority w:val="99"/>
    <w:rPr>
      <w:rFonts w:ascii="宋体" w:hAnsi="Courier New"/>
      <w:kern w:val="0"/>
      <w:sz w:val="20"/>
      <w:szCs w:val="20"/>
    </w:rPr>
  </w:style>
  <w:style w:type="paragraph" w:styleId="5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18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9">
    <w:name w:val="annotation subject"/>
    <w:basedOn w:val="3"/>
    <w:next w:val="3"/>
    <w:link w:val="21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2"/>
    <w:link w:val="7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6"/>
    <w:semiHidden/>
    <w:qFormat/>
    <w:uiPriority w:val="99"/>
    <w:rPr>
      <w:sz w:val="18"/>
      <w:szCs w:val="18"/>
    </w:rPr>
  </w:style>
  <w:style w:type="character" w:customStyle="1" w:styleId="16">
    <w:name w:val="标题 2 Char"/>
    <w:basedOn w:val="12"/>
    <w:link w:val="2"/>
    <w:qFormat/>
    <w:uiPriority w:val="0"/>
    <w:rPr>
      <w:rFonts w:ascii="Arial" w:hAnsi="Arial" w:eastAsia="黑体" w:cs="Times New Roman"/>
      <w:b/>
      <w:bCs/>
      <w:kern w:val="0"/>
      <w:sz w:val="32"/>
      <w:szCs w:val="32"/>
    </w:rPr>
  </w:style>
  <w:style w:type="character" w:customStyle="1" w:styleId="17">
    <w:name w:val="纯文本 Char"/>
    <w:basedOn w:val="12"/>
    <w:link w:val="4"/>
    <w:qFormat/>
    <w:uiPriority w:val="99"/>
    <w:rPr>
      <w:rFonts w:ascii="宋体" w:hAnsi="Courier New" w:eastAsia="宋体" w:cs="Times New Roman"/>
      <w:kern w:val="0"/>
      <w:sz w:val="20"/>
      <w:szCs w:val="20"/>
    </w:rPr>
  </w:style>
  <w:style w:type="character" w:customStyle="1" w:styleId="18">
    <w:name w:val="标题 Char"/>
    <w:basedOn w:val="12"/>
    <w:link w:val="8"/>
    <w:qFormat/>
    <w:uiPriority w:val="0"/>
    <w:rPr>
      <w:rFonts w:ascii="Cambria" w:hAnsi="Cambria" w:eastAsia="宋体" w:cs="Times New Roman"/>
      <w:b/>
      <w:bCs/>
      <w:kern w:val="0"/>
      <w:sz w:val="32"/>
      <w:szCs w:val="32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文字 Char"/>
    <w:basedOn w:val="12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1">
    <w:name w:val="批注主题 Char"/>
    <w:basedOn w:val="20"/>
    <w:link w:val="9"/>
    <w:semiHidden/>
    <w:qFormat/>
    <w:uiPriority w:val="99"/>
    <w:rPr>
      <w:b/>
      <w:bCs/>
    </w:rPr>
  </w:style>
  <w:style w:type="character" w:customStyle="1" w:styleId="22">
    <w:name w:val="批注框文本 Char"/>
    <w:basedOn w:val="12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585</Words>
  <Characters>715</Characters>
  <Lines>4</Lines>
  <Paragraphs>1</Paragraphs>
  <TotalTime>3</TotalTime>
  <ScaleCrop>false</ScaleCrop>
  <LinksUpToDate>false</LinksUpToDate>
  <CharactersWithSpaces>748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2021-08-06T01:10:00Z</dcterms:created>
  <dc:creator>虞海:信息发布部门</dc:creator>
  <cp:lastModifiedBy>yjwang</cp:lastModifiedBy>
  <dcterms:modified xsi:type="dcterms:W3CDTF">2023-10-26T14:58:59Z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AB8C1194699A3CC4C59DD964EF08933E</vt:lpwstr>
  </property>
</Properties>
</file>